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22A" w:rsidRPr="00503A3F" w:rsidRDefault="00503A3F" w:rsidP="0030322A">
      <w:pPr>
        <w:spacing w:after="0" w:line="240" w:lineRule="auto"/>
        <w:rPr>
          <w:rFonts w:cs="Arial"/>
          <w:sz w:val="44"/>
          <w:szCs w:val="24"/>
        </w:rPr>
      </w:pPr>
      <w:r w:rsidRPr="00503A3F">
        <w:rPr>
          <w:rFonts w:cs="Arial"/>
          <w:sz w:val="44"/>
          <w:szCs w:val="24"/>
        </w:rPr>
        <w:t>Notice of Privacy Practices</w:t>
      </w:r>
    </w:p>
    <w:p w:rsidR="00503A3F" w:rsidRDefault="00503A3F" w:rsidP="0030322A">
      <w:pPr>
        <w:spacing w:after="0" w:line="240" w:lineRule="auto"/>
        <w:rPr>
          <w:rFonts w:ascii="Arial" w:hAnsi="Arial" w:cs="Arial"/>
          <w:sz w:val="36"/>
          <w:szCs w:val="24"/>
        </w:rPr>
      </w:pPr>
    </w:p>
    <w:p w:rsidR="00503A3F" w:rsidRPr="00503A3F" w:rsidRDefault="00503A3F" w:rsidP="00503A3F">
      <w:pPr>
        <w:spacing w:after="164"/>
        <w:ind w:left="17"/>
        <w:rPr>
          <w:rFonts w:ascii="Arial" w:hAnsi="Arial" w:cs="Arial"/>
        </w:rPr>
      </w:pPr>
      <w:r w:rsidRPr="00503A3F">
        <w:rPr>
          <w:rFonts w:ascii="Arial" w:hAnsi="Arial" w:cs="Arial"/>
        </w:rPr>
        <w:t>We understand that medical information about you is personal. We are committed to protecting medical information about you. We will use your information to provide your care and treatment, create a record of the care and services you receive, bill your insurance and operate our facility in a diligent manner. We will safeguard your information and share it only with those who need or are entitled to know. We will obtain your permission for other use or disclosure.</w:t>
      </w:r>
    </w:p>
    <w:p w:rsidR="00503A3F" w:rsidRPr="00503A3F" w:rsidRDefault="00503A3F" w:rsidP="00503A3F">
      <w:pPr>
        <w:spacing w:after="59" w:line="256" w:lineRule="auto"/>
        <w:ind w:left="32" w:right="22" w:hanging="10"/>
        <w:jc w:val="center"/>
        <w:rPr>
          <w:rFonts w:ascii="Arial" w:hAnsi="Arial" w:cs="Arial"/>
        </w:rPr>
      </w:pPr>
      <w:r w:rsidRPr="00503A3F">
        <w:rPr>
          <w:rFonts w:ascii="Arial" w:hAnsi="Arial" w:cs="Arial"/>
        </w:rPr>
        <w:t>THIS NOTICE DESCRIBES HOW MEDICAL INFORMATION ABOUT YOU MAY BE USED</w:t>
      </w:r>
    </w:p>
    <w:p w:rsidR="00503A3F" w:rsidRPr="00503A3F" w:rsidRDefault="00503A3F" w:rsidP="00503A3F">
      <w:pPr>
        <w:spacing w:after="59" w:line="256" w:lineRule="auto"/>
        <w:ind w:left="32" w:right="22" w:hanging="10"/>
        <w:jc w:val="center"/>
        <w:rPr>
          <w:rFonts w:ascii="Arial" w:hAnsi="Arial" w:cs="Arial"/>
        </w:rPr>
      </w:pPr>
      <w:r w:rsidRPr="00503A3F">
        <w:rPr>
          <w:rFonts w:ascii="Arial" w:hAnsi="Arial" w:cs="Arial"/>
        </w:rPr>
        <w:t>AND DISCLOSED AND HOW YOU CAN GET ACCESS TO THIS INFORMATION.</w:t>
      </w:r>
    </w:p>
    <w:p w:rsidR="00503A3F" w:rsidRPr="00503A3F" w:rsidRDefault="00503A3F" w:rsidP="00503A3F">
      <w:pPr>
        <w:spacing w:after="59" w:line="256" w:lineRule="auto"/>
        <w:ind w:left="32" w:right="14" w:hanging="10"/>
        <w:jc w:val="center"/>
        <w:rPr>
          <w:rFonts w:ascii="Arial" w:hAnsi="Arial" w:cs="Arial"/>
        </w:rPr>
      </w:pPr>
      <w:r w:rsidRPr="00503A3F">
        <w:rPr>
          <w:rFonts w:ascii="Arial" w:hAnsi="Arial" w:cs="Arial"/>
        </w:rPr>
        <w:t>PLEASE REVIEW IT CAREFULLY.</w:t>
      </w:r>
    </w:p>
    <w:p w:rsidR="00503A3F" w:rsidRPr="00503A3F" w:rsidRDefault="00503A3F" w:rsidP="00503A3F">
      <w:pPr>
        <w:spacing w:after="164" w:line="256" w:lineRule="auto"/>
        <w:ind w:left="32" w:right="7" w:hanging="10"/>
        <w:jc w:val="center"/>
        <w:rPr>
          <w:rFonts w:ascii="Arial" w:hAnsi="Arial" w:cs="Arial"/>
        </w:rPr>
      </w:pPr>
      <w:r w:rsidRPr="00503A3F">
        <w:rPr>
          <w:rFonts w:ascii="Arial" w:hAnsi="Arial" w:cs="Arial"/>
        </w:rPr>
        <w:t>(</w:t>
      </w:r>
      <w:r w:rsidRPr="00503A3F">
        <w:rPr>
          <w:rFonts w:ascii="Arial" w:hAnsi="Arial" w:cs="Arial"/>
        </w:rPr>
        <w:t>Effective</w:t>
      </w:r>
      <w:r w:rsidRPr="00503A3F">
        <w:rPr>
          <w:rFonts w:ascii="Arial" w:hAnsi="Arial" w:cs="Arial"/>
        </w:rPr>
        <w:t xml:space="preserve"> as of April 01, 2015)</w:t>
      </w:r>
    </w:p>
    <w:p w:rsidR="00503A3F" w:rsidRDefault="00503A3F" w:rsidP="00503A3F">
      <w:pPr>
        <w:spacing w:after="140"/>
        <w:ind w:left="17"/>
        <w:rPr>
          <w:rFonts w:ascii="Arial" w:hAnsi="Arial" w:cs="Arial"/>
        </w:rPr>
      </w:pPr>
    </w:p>
    <w:p w:rsidR="00503A3F" w:rsidRPr="00503A3F" w:rsidRDefault="00503A3F" w:rsidP="00503A3F">
      <w:pPr>
        <w:spacing w:after="140"/>
        <w:ind w:left="17"/>
        <w:rPr>
          <w:rFonts w:ascii="Arial" w:hAnsi="Arial" w:cs="Arial"/>
        </w:rPr>
      </w:pPr>
      <w:r w:rsidRPr="00503A3F">
        <w:rPr>
          <w:rFonts w:ascii="Arial" w:hAnsi="Arial" w:cs="Arial"/>
        </w:rPr>
        <w:t>USES AND DISCLOSURE OF HEALTH INFORMATION</w:t>
      </w:r>
    </w:p>
    <w:p w:rsidR="00503A3F" w:rsidRPr="005E09C6" w:rsidRDefault="00503A3F" w:rsidP="00503A3F">
      <w:pPr>
        <w:spacing w:after="196"/>
        <w:ind w:left="17"/>
        <w:rPr>
          <w:rFonts w:ascii="Arial" w:hAnsi="Arial" w:cs="Arial"/>
          <w:sz w:val="24"/>
        </w:rPr>
      </w:pPr>
      <w:r w:rsidRPr="005E09C6">
        <w:rPr>
          <w:rFonts w:ascii="Arial" w:hAnsi="Arial" w:cs="Arial"/>
          <w:sz w:val="24"/>
        </w:rPr>
        <w:t xml:space="preserve">TREATMENT, PAYMENTAND HEALTH CARE OPERATIONS - Hermes Healthcare, Inc. uses and discloses </w:t>
      </w:r>
      <w:r w:rsidRPr="005E09C6">
        <w:rPr>
          <w:rFonts w:ascii="Arial" w:hAnsi="Arial" w:cs="Arial"/>
          <w:noProof/>
          <w:sz w:val="24"/>
        </w:rPr>
        <w:drawing>
          <wp:inline distT="0" distB="0" distL="0" distR="0" wp14:anchorId="336AB204" wp14:editId="1F3C0491">
            <wp:extent cx="15875" cy="15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5" cy="15875"/>
                    </a:xfrm>
                    <a:prstGeom prst="rect">
                      <a:avLst/>
                    </a:prstGeom>
                    <a:noFill/>
                    <a:ln>
                      <a:noFill/>
                    </a:ln>
                  </pic:spPr>
                </pic:pic>
              </a:graphicData>
            </a:graphic>
          </wp:inline>
        </w:drawing>
      </w:r>
      <w:r w:rsidRPr="005E09C6">
        <w:rPr>
          <w:rFonts w:ascii="Arial" w:hAnsi="Arial" w:cs="Arial"/>
          <w:sz w:val="24"/>
        </w:rPr>
        <w:t>your protected health information for treatment, payments and health care operations. Some examples of when our office may use or disclose your health care information for these purposes include:</w:t>
      </w:r>
    </w:p>
    <w:p w:rsidR="00503A3F" w:rsidRPr="00503A3F" w:rsidRDefault="00503A3F" w:rsidP="00503A3F">
      <w:pPr>
        <w:numPr>
          <w:ilvl w:val="0"/>
          <w:numId w:val="1"/>
        </w:numPr>
        <w:spacing w:after="13" w:line="247" w:lineRule="auto"/>
        <w:ind w:left="713" w:hanging="699"/>
        <w:jc w:val="both"/>
        <w:rPr>
          <w:rFonts w:ascii="Arial" w:hAnsi="Arial" w:cs="Arial"/>
        </w:rPr>
      </w:pPr>
      <w:r w:rsidRPr="00503A3F">
        <w:rPr>
          <w:rFonts w:ascii="Arial" w:hAnsi="Arial" w:cs="Arial"/>
        </w:rPr>
        <w:t>Sharing test results with other health care providers for confirmation of a diagnosis;</w:t>
      </w:r>
    </w:p>
    <w:p w:rsidR="00503A3F" w:rsidRPr="00503A3F" w:rsidRDefault="00503A3F" w:rsidP="00503A3F">
      <w:pPr>
        <w:numPr>
          <w:ilvl w:val="0"/>
          <w:numId w:val="1"/>
        </w:numPr>
        <w:spacing w:after="73" w:line="247" w:lineRule="auto"/>
        <w:ind w:left="713" w:hanging="699"/>
        <w:jc w:val="both"/>
        <w:rPr>
          <w:rFonts w:ascii="Arial" w:hAnsi="Arial" w:cs="Arial"/>
        </w:rPr>
      </w:pPr>
      <w:r w:rsidRPr="00503A3F">
        <w:rPr>
          <w:rFonts w:ascii="Arial" w:hAnsi="Arial" w:cs="Arial"/>
        </w:rPr>
        <w:t>Providing your diagnosis or other information about your health to your insurance provider or our billing service to obtain payment for the health care services we provide. We do use an outside billing service who follows the same privacy policies;</w:t>
      </w:r>
    </w:p>
    <w:p w:rsidR="00503A3F" w:rsidRDefault="00503A3F" w:rsidP="00503A3F">
      <w:pPr>
        <w:numPr>
          <w:ilvl w:val="0"/>
          <w:numId w:val="1"/>
        </w:numPr>
        <w:spacing w:after="43" w:line="247" w:lineRule="auto"/>
        <w:ind w:left="713" w:hanging="699"/>
        <w:jc w:val="both"/>
        <w:rPr>
          <w:rFonts w:ascii="Arial" w:hAnsi="Arial" w:cs="Arial"/>
        </w:rPr>
      </w:pPr>
      <w:r w:rsidRPr="00503A3F">
        <w:rPr>
          <w:rFonts w:ascii="Arial" w:hAnsi="Arial" w:cs="Arial"/>
        </w:rPr>
        <w:t xml:space="preserve">Reviewing information as </w:t>
      </w:r>
      <w:bookmarkStart w:id="0" w:name="_GoBack"/>
      <w:bookmarkEnd w:id="0"/>
      <w:r w:rsidRPr="00503A3F">
        <w:rPr>
          <w:rFonts w:ascii="Arial" w:hAnsi="Arial" w:cs="Arial"/>
        </w:rPr>
        <w:t>part of our quality improvement program.</w:t>
      </w:r>
    </w:p>
    <w:p w:rsidR="00503A3F" w:rsidRPr="00503A3F" w:rsidRDefault="00503A3F" w:rsidP="00503A3F">
      <w:pPr>
        <w:spacing w:after="43" w:line="247" w:lineRule="auto"/>
        <w:ind w:left="713"/>
        <w:jc w:val="both"/>
        <w:rPr>
          <w:rFonts w:ascii="Arial" w:hAnsi="Arial" w:cs="Arial"/>
        </w:rPr>
      </w:pPr>
    </w:p>
    <w:p w:rsidR="00503A3F" w:rsidRPr="00503A3F" w:rsidRDefault="00503A3F" w:rsidP="00503A3F">
      <w:pPr>
        <w:ind w:left="17"/>
        <w:rPr>
          <w:rFonts w:ascii="Arial" w:hAnsi="Arial" w:cs="Arial"/>
        </w:rPr>
      </w:pPr>
      <w:r w:rsidRPr="00503A3F">
        <w:rPr>
          <w:rFonts w:ascii="Arial" w:hAnsi="Arial" w:cs="Arial"/>
        </w:rPr>
        <w:t>OTHER USES AND DISCLOSURES Hermes Healthcare, Inc. may also use or disclose your protected health information, in compliance with guidelines outlined by law, for the following purposes:</w:t>
      </w:r>
    </w:p>
    <w:p w:rsidR="00503A3F" w:rsidRPr="00503A3F" w:rsidRDefault="00503A3F" w:rsidP="00503A3F">
      <w:pPr>
        <w:numPr>
          <w:ilvl w:val="0"/>
          <w:numId w:val="1"/>
        </w:numPr>
        <w:spacing w:after="65" w:line="247" w:lineRule="auto"/>
        <w:ind w:left="713" w:hanging="699"/>
        <w:jc w:val="both"/>
        <w:rPr>
          <w:rFonts w:ascii="Arial" w:hAnsi="Arial" w:cs="Arial"/>
        </w:rPr>
      </w:pPr>
      <w:r w:rsidRPr="00503A3F">
        <w:rPr>
          <w:rFonts w:ascii="Arial" w:hAnsi="Arial" w:cs="Arial"/>
        </w:rPr>
        <w:t>Providing you with information related to your health;</w:t>
      </w:r>
    </w:p>
    <w:p w:rsidR="00503A3F" w:rsidRPr="00503A3F" w:rsidRDefault="00503A3F" w:rsidP="00503A3F">
      <w:pPr>
        <w:numPr>
          <w:ilvl w:val="0"/>
          <w:numId w:val="1"/>
        </w:numPr>
        <w:spacing w:after="77" w:line="247" w:lineRule="auto"/>
        <w:ind w:left="713" w:hanging="699"/>
        <w:jc w:val="both"/>
        <w:rPr>
          <w:rFonts w:ascii="Arial" w:hAnsi="Arial" w:cs="Arial"/>
        </w:rPr>
      </w:pPr>
      <w:r w:rsidRPr="00503A3F">
        <w:rPr>
          <w:rFonts w:ascii="Arial" w:hAnsi="Arial" w:cs="Arial"/>
        </w:rPr>
        <w:t>Contacting you regarding appointments, information about treatment alternatives, or other health related services;</w:t>
      </w:r>
    </w:p>
    <w:p w:rsidR="00503A3F" w:rsidRPr="00503A3F" w:rsidRDefault="00503A3F" w:rsidP="00503A3F">
      <w:pPr>
        <w:numPr>
          <w:ilvl w:val="0"/>
          <w:numId w:val="1"/>
        </w:numPr>
        <w:spacing w:after="10" w:line="247" w:lineRule="auto"/>
        <w:ind w:left="713" w:hanging="699"/>
        <w:jc w:val="both"/>
        <w:rPr>
          <w:rFonts w:ascii="Arial" w:hAnsi="Arial" w:cs="Arial"/>
        </w:rPr>
      </w:pPr>
      <w:r w:rsidRPr="00503A3F">
        <w:rPr>
          <w:rFonts w:ascii="Arial" w:hAnsi="Arial" w:cs="Arial"/>
        </w:rPr>
        <w:t>Incidental uses or disclosures (e.g., Listing your name on a sign-in sheet, etc.);</w:t>
      </w:r>
    </w:p>
    <w:p w:rsidR="00503A3F" w:rsidRPr="00503A3F" w:rsidRDefault="00503A3F" w:rsidP="00503A3F">
      <w:pPr>
        <w:numPr>
          <w:ilvl w:val="0"/>
          <w:numId w:val="1"/>
        </w:numPr>
        <w:spacing w:after="43" w:line="247" w:lineRule="auto"/>
        <w:ind w:left="713" w:hanging="699"/>
        <w:jc w:val="both"/>
        <w:rPr>
          <w:rFonts w:ascii="Arial" w:hAnsi="Arial" w:cs="Arial"/>
        </w:rPr>
      </w:pPr>
      <w:r w:rsidRPr="00503A3F">
        <w:rPr>
          <w:rFonts w:ascii="Arial" w:hAnsi="Arial" w:cs="Arial"/>
        </w:rPr>
        <w:t>Compliance with all laws (including reports of suspected abuse, neglect or violence);</w:t>
      </w:r>
    </w:p>
    <w:p w:rsidR="00503A3F" w:rsidRPr="00503A3F" w:rsidRDefault="00503A3F" w:rsidP="00503A3F">
      <w:pPr>
        <w:numPr>
          <w:ilvl w:val="0"/>
          <w:numId w:val="1"/>
        </w:numPr>
        <w:spacing w:after="43" w:line="247" w:lineRule="auto"/>
        <w:ind w:left="713" w:hanging="699"/>
        <w:jc w:val="both"/>
        <w:rPr>
          <w:rFonts w:ascii="Arial" w:hAnsi="Arial" w:cs="Arial"/>
        </w:rPr>
      </w:pPr>
      <w:r w:rsidRPr="00503A3F">
        <w:rPr>
          <w:rFonts w:ascii="Arial" w:hAnsi="Arial" w:cs="Arial"/>
        </w:rPr>
        <w:t>Providing certain specified information to law enforcement or correctional institutions;</w:t>
      </w:r>
    </w:p>
    <w:p w:rsidR="00503A3F" w:rsidRPr="00503A3F" w:rsidRDefault="00503A3F" w:rsidP="00503A3F">
      <w:pPr>
        <w:numPr>
          <w:ilvl w:val="0"/>
          <w:numId w:val="1"/>
        </w:numPr>
        <w:spacing w:after="78" w:line="247" w:lineRule="auto"/>
        <w:ind w:left="713" w:hanging="699"/>
        <w:jc w:val="both"/>
        <w:rPr>
          <w:rFonts w:ascii="Arial" w:hAnsi="Arial" w:cs="Arial"/>
        </w:rPr>
      </w:pPr>
      <w:r w:rsidRPr="00503A3F">
        <w:rPr>
          <w:rFonts w:ascii="Arial" w:hAnsi="Arial" w:cs="Arial"/>
        </w:rPr>
        <w:t>Providing information to a coroner, medical examiner, funeral director, or organ procurement organization;</w:t>
      </w:r>
    </w:p>
    <w:p w:rsidR="00503A3F" w:rsidRPr="00503A3F" w:rsidRDefault="00503A3F" w:rsidP="00503A3F">
      <w:pPr>
        <w:numPr>
          <w:ilvl w:val="0"/>
          <w:numId w:val="1"/>
        </w:numPr>
        <w:spacing w:after="43" w:line="247" w:lineRule="auto"/>
        <w:ind w:left="713" w:hanging="699"/>
        <w:jc w:val="both"/>
        <w:rPr>
          <w:rFonts w:ascii="Arial" w:hAnsi="Arial" w:cs="Arial"/>
        </w:rPr>
      </w:pPr>
      <w:r w:rsidRPr="00503A3F">
        <w:rPr>
          <w:rFonts w:ascii="Arial" w:hAnsi="Arial" w:cs="Arial"/>
        </w:rPr>
        <w:t xml:space="preserve">Public health activities when requested by a public health authority or the FDA. </w:t>
      </w:r>
      <w:r w:rsidRPr="00503A3F">
        <w:rPr>
          <w:rFonts w:ascii="Arial" w:hAnsi="Arial" w:cs="Arial"/>
          <w:noProof/>
        </w:rPr>
        <w:drawing>
          <wp:inline distT="0" distB="0" distL="0" distR="0" wp14:anchorId="0FFDBD9E" wp14:editId="14601C9C">
            <wp:extent cx="46990" cy="469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990" cy="46990"/>
                    </a:xfrm>
                    <a:prstGeom prst="rect">
                      <a:avLst/>
                    </a:prstGeom>
                    <a:noFill/>
                    <a:ln>
                      <a:noFill/>
                    </a:ln>
                  </pic:spPr>
                </pic:pic>
              </a:graphicData>
            </a:graphic>
          </wp:inline>
        </w:drawing>
      </w:r>
      <w:r w:rsidRPr="00503A3F">
        <w:rPr>
          <w:rFonts w:ascii="Arial" w:hAnsi="Arial" w:cs="Arial"/>
        </w:rPr>
        <w:tab/>
        <w:t>Responding to health oversight agencies;</w:t>
      </w:r>
    </w:p>
    <w:p w:rsidR="00503A3F" w:rsidRPr="00503A3F" w:rsidRDefault="00503A3F" w:rsidP="00503A3F">
      <w:pPr>
        <w:numPr>
          <w:ilvl w:val="0"/>
          <w:numId w:val="1"/>
        </w:numPr>
        <w:spacing w:after="78" w:line="247" w:lineRule="auto"/>
        <w:ind w:left="713" w:hanging="699"/>
        <w:jc w:val="both"/>
        <w:rPr>
          <w:rFonts w:ascii="Arial" w:hAnsi="Arial" w:cs="Arial"/>
        </w:rPr>
      </w:pPr>
      <w:r w:rsidRPr="00503A3F">
        <w:rPr>
          <w:rFonts w:ascii="Arial" w:hAnsi="Arial" w:cs="Arial"/>
        </w:rPr>
        <w:lastRenderedPageBreak/>
        <w:t>Responding to court or administrative tribunal orders, subpoenas, discovery request or other lawful process;</w:t>
      </w:r>
    </w:p>
    <w:p w:rsidR="00503A3F" w:rsidRPr="00503A3F" w:rsidRDefault="00503A3F" w:rsidP="00503A3F">
      <w:pPr>
        <w:numPr>
          <w:ilvl w:val="0"/>
          <w:numId w:val="1"/>
        </w:numPr>
        <w:spacing w:after="65" w:line="247" w:lineRule="auto"/>
        <w:ind w:left="713" w:hanging="699"/>
        <w:jc w:val="both"/>
        <w:rPr>
          <w:rFonts w:ascii="Arial" w:hAnsi="Arial" w:cs="Arial"/>
        </w:rPr>
      </w:pPr>
      <w:r w:rsidRPr="00503A3F">
        <w:rPr>
          <w:rFonts w:ascii="Arial" w:hAnsi="Arial" w:cs="Arial"/>
        </w:rPr>
        <w:t>Research activities;</w:t>
      </w:r>
    </w:p>
    <w:p w:rsidR="00503A3F" w:rsidRPr="00503A3F" w:rsidRDefault="00503A3F" w:rsidP="00503A3F">
      <w:pPr>
        <w:numPr>
          <w:ilvl w:val="0"/>
          <w:numId w:val="1"/>
        </w:numPr>
        <w:spacing w:after="43" w:line="247" w:lineRule="auto"/>
        <w:ind w:left="713" w:hanging="699"/>
        <w:jc w:val="both"/>
        <w:rPr>
          <w:rFonts w:ascii="Arial" w:hAnsi="Arial" w:cs="Arial"/>
        </w:rPr>
      </w:pPr>
      <w:r w:rsidRPr="00503A3F">
        <w:rPr>
          <w:rFonts w:ascii="Arial" w:hAnsi="Arial" w:cs="Arial"/>
        </w:rPr>
        <w:t>When necessary to avert a serious threat to health or safety;</w:t>
      </w:r>
    </w:p>
    <w:p w:rsidR="00503A3F" w:rsidRPr="00503A3F" w:rsidRDefault="00503A3F" w:rsidP="00503A3F">
      <w:pPr>
        <w:numPr>
          <w:ilvl w:val="0"/>
          <w:numId w:val="1"/>
        </w:numPr>
        <w:spacing w:after="70" w:line="247" w:lineRule="auto"/>
        <w:ind w:left="713" w:hanging="699"/>
        <w:jc w:val="both"/>
        <w:rPr>
          <w:rFonts w:ascii="Arial" w:hAnsi="Arial" w:cs="Arial"/>
        </w:rPr>
      </w:pPr>
      <w:r w:rsidRPr="00503A3F">
        <w:rPr>
          <w:rFonts w:ascii="Arial" w:hAnsi="Arial" w:cs="Arial"/>
        </w:rPr>
        <w:t>Military affairs, veteran’s affairs, national security, intelligence, Department of State, or Presidential protective service activities;</w:t>
      </w:r>
    </w:p>
    <w:p w:rsidR="00503A3F" w:rsidRDefault="00503A3F" w:rsidP="00503A3F">
      <w:pPr>
        <w:numPr>
          <w:ilvl w:val="0"/>
          <w:numId w:val="1"/>
        </w:numPr>
        <w:spacing w:after="341" w:line="247" w:lineRule="auto"/>
        <w:ind w:left="713" w:hanging="699"/>
        <w:jc w:val="both"/>
        <w:rPr>
          <w:rFonts w:ascii="Arial" w:hAnsi="Arial" w:cs="Arial"/>
        </w:rPr>
      </w:pPr>
      <w:r w:rsidRPr="00503A3F">
        <w:rPr>
          <w:rFonts w:ascii="Arial" w:hAnsi="Arial" w:cs="Arial"/>
        </w:rPr>
        <w:t>Providing information regarding your location, general condition or death to public or private disaster relief agencies; or</w:t>
      </w:r>
    </w:p>
    <w:p w:rsidR="00503A3F" w:rsidRPr="00503A3F" w:rsidRDefault="00503A3F" w:rsidP="00503A3F">
      <w:pPr>
        <w:numPr>
          <w:ilvl w:val="0"/>
          <w:numId w:val="1"/>
        </w:numPr>
        <w:spacing w:after="10" w:line="247" w:lineRule="auto"/>
        <w:ind w:left="0"/>
        <w:jc w:val="both"/>
        <w:rPr>
          <w:rFonts w:ascii="Arial" w:hAnsi="Arial" w:cs="Arial"/>
        </w:rPr>
      </w:pPr>
      <w:r w:rsidRPr="00503A3F">
        <w:rPr>
          <w:rFonts w:ascii="Arial" w:hAnsi="Arial" w:cs="Arial"/>
        </w:rPr>
        <w:t>Informing a family member, other relative or close friend when:</w:t>
      </w:r>
    </w:p>
    <w:p w:rsidR="00503A3F" w:rsidRPr="00503A3F" w:rsidRDefault="00503A3F" w:rsidP="00503A3F">
      <w:pPr>
        <w:numPr>
          <w:ilvl w:val="0"/>
          <w:numId w:val="1"/>
        </w:numPr>
        <w:spacing w:after="44" w:line="247" w:lineRule="auto"/>
        <w:ind w:left="720" w:hanging="720"/>
        <w:jc w:val="both"/>
        <w:rPr>
          <w:rFonts w:ascii="Arial" w:hAnsi="Arial" w:cs="Arial"/>
        </w:rPr>
      </w:pPr>
      <w:r w:rsidRPr="00503A3F">
        <w:rPr>
          <w:rFonts w:ascii="Arial" w:hAnsi="Arial" w:cs="Arial"/>
        </w:rPr>
        <w:t>Information is relevant to the individual's involvement with your care; o Notification of your location, general condition or death; to assist in your health-care (e.g., pick-up prescriptions or other documents, note follow-up care instructions, etc.).</w:t>
      </w:r>
    </w:p>
    <w:p w:rsidR="00503A3F" w:rsidRDefault="00503A3F" w:rsidP="00503A3F">
      <w:pPr>
        <w:ind w:left="17"/>
        <w:rPr>
          <w:rFonts w:ascii="Arial" w:hAnsi="Arial" w:cs="Arial"/>
        </w:rPr>
      </w:pPr>
    </w:p>
    <w:p w:rsidR="00503A3F" w:rsidRPr="00503A3F" w:rsidRDefault="00503A3F" w:rsidP="00503A3F">
      <w:pPr>
        <w:ind w:left="17"/>
        <w:rPr>
          <w:rFonts w:ascii="Arial" w:hAnsi="Arial" w:cs="Arial"/>
          <w:sz w:val="24"/>
        </w:rPr>
      </w:pPr>
      <w:r w:rsidRPr="00503A3F">
        <w:rPr>
          <w:rFonts w:ascii="Arial" w:hAnsi="Arial" w:cs="Arial"/>
          <w:sz w:val="24"/>
        </w:rPr>
        <w:t>AUTHORIZATIONFOR OTHER USES</w:t>
      </w:r>
    </w:p>
    <w:p w:rsidR="00503A3F" w:rsidRPr="00503A3F" w:rsidRDefault="00503A3F" w:rsidP="00503A3F">
      <w:pPr>
        <w:ind w:left="17"/>
        <w:rPr>
          <w:rFonts w:ascii="Arial" w:hAnsi="Arial" w:cs="Arial"/>
        </w:rPr>
      </w:pPr>
      <w:r w:rsidRPr="00503A3F">
        <w:rPr>
          <w:rFonts w:ascii="Arial" w:hAnsi="Arial" w:cs="Arial"/>
        </w:rPr>
        <w:t>Hermes Healthcare, Inc. will make other uses and disclosure of your protected health information only after obtaining your written authorization</w:t>
      </w:r>
    </w:p>
    <w:p w:rsidR="00503A3F" w:rsidRPr="00503A3F" w:rsidRDefault="00503A3F" w:rsidP="00503A3F">
      <w:pPr>
        <w:ind w:left="17"/>
        <w:rPr>
          <w:rFonts w:ascii="Arial" w:hAnsi="Arial" w:cs="Arial"/>
        </w:rPr>
      </w:pPr>
      <w:r w:rsidRPr="00503A3F">
        <w:rPr>
          <w:rFonts w:ascii="Arial" w:hAnsi="Arial" w:cs="Arial"/>
        </w:rPr>
        <w:t>YOUR RIGHTS REGARDING THE PRIVACY OF YOUR HEALTH INFORMATION</w:t>
      </w:r>
    </w:p>
    <w:p w:rsidR="00503A3F" w:rsidRDefault="00503A3F" w:rsidP="00503A3F">
      <w:pPr>
        <w:ind w:left="17"/>
        <w:rPr>
          <w:rFonts w:ascii="Arial" w:hAnsi="Arial" w:cs="Arial"/>
        </w:rPr>
      </w:pPr>
    </w:p>
    <w:p w:rsidR="00503A3F" w:rsidRPr="00503A3F" w:rsidRDefault="00503A3F" w:rsidP="00503A3F">
      <w:pPr>
        <w:ind w:left="17"/>
        <w:rPr>
          <w:rFonts w:ascii="Arial" w:hAnsi="Arial" w:cs="Arial"/>
        </w:rPr>
      </w:pPr>
      <w:r w:rsidRPr="00503A3F">
        <w:rPr>
          <w:rFonts w:ascii="Arial" w:hAnsi="Arial" w:cs="Arial"/>
        </w:rPr>
        <w:t>Subject to limitations outlined by law, you have certain rights related to use and disclosure of your protected health information, including the right to:</w:t>
      </w:r>
    </w:p>
    <w:p w:rsidR="00503A3F" w:rsidRPr="00503A3F" w:rsidRDefault="00503A3F" w:rsidP="00503A3F">
      <w:pPr>
        <w:numPr>
          <w:ilvl w:val="0"/>
          <w:numId w:val="1"/>
        </w:numPr>
        <w:spacing w:after="58" w:line="247" w:lineRule="auto"/>
        <w:ind w:left="720" w:hanging="720"/>
        <w:jc w:val="both"/>
        <w:rPr>
          <w:rFonts w:ascii="Arial" w:hAnsi="Arial" w:cs="Arial"/>
        </w:rPr>
      </w:pPr>
      <w:r w:rsidRPr="00503A3F">
        <w:rPr>
          <w:rFonts w:ascii="Arial" w:hAnsi="Arial" w:cs="Arial"/>
        </w:rPr>
        <w:t>Request restrictions on certain uses and disclosures. However, Hermes Healthcare, Inc. is not obligated to agree to requested restriction.</w:t>
      </w:r>
    </w:p>
    <w:p w:rsidR="00503A3F" w:rsidRPr="00503A3F" w:rsidRDefault="00503A3F" w:rsidP="00503A3F">
      <w:pPr>
        <w:numPr>
          <w:ilvl w:val="0"/>
          <w:numId w:val="1"/>
        </w:numPr>
        <w:spacing w:after="66" w:line="247" w:lineRule="auto"/>
        <w:ind w:left="0"/>
        <w:jc w:val="both"/>
        <w:rPr>
          <w:rFonts w:ascii="Arial" w:hAnsi="Arial" w:cs="Arial"/>
        </w:rPr>
      </w:pPr>
      <w:r w:rsidRPr="00503A3F">
        <w:rPr>
          <w:rFonts w:ascii="Arial" w:hAnsi="Arial" w:cs="Arial"/>
        </w:rPr>
        <w:t>Receive confidential communications of protected health information.</w:t>
      </w:r>
    </w:p>
    <w:p w:rsidR="00503A3F" w:rsidRPr="00503A3F" w:rsidRDefault="00503A3F" w:rsidP="00503A3F">
      <w:pPr>
        <w:numPr>
          <w:ilvl w:val="0"/>
          <w:numId w:val="1"/>
        </w:numPr>
        <w:spacing w:after="63" w:line="247" w:lineRule="auto"/>
        <w:ind w:left="0"/>
        <w:jc w:val="both"/>
        <w:rPr>
          <w:rFonts w:ascii="Arial" w:hAnsi="Arial" w:cs="Arial"/>
        </w:rPr>
      </w:pPr>
      <w:r w:rsidRPr="00503A3F">
        <w:rPr>
          <w:rFonts w:ascii="Arial" w:hAnsi="Arial" w:cs="Arial"/>
        </w:rPr>
        <w:t>Inspect and copy your protected health information with some limited exceptions;</w:t>
      </w:r>
    </w:p>
    <w:p w:rsidR="00503A3F" w:rsidRPr="00503A3F" w:rsidRDefault="00503A3F" w:rsidP="00503A3F">
      <w:pPr>
        <w:numPr>
          <w:ilvl w:val="0"/>
          <w:numId w:val="1"/>
        </w:numPr>
        <w:spacing w:after="474" w:line="247" w:lineRule="auto"/>
        <w:ind w:left="720" w:hanging="720"/>
        <w:jc w:val="both"/>
        <w:rPr>
          <w:rFonts w:ascii="Arial" w:hAnsi="Arial" w:cs="Arial"/>
        </w:rPr>
      </w:pPr>
      <w:r w:rsidRPr="00503A3F">
        <w:rPr>
          <w:rFonts w:ascii="Arial" w:hAnsi="Arial" w:cs="Arial"/>
        </w:rPr>
        <w:t xml:space="preserve">Amend your health information with some limited exceptions; </w:t>
      </w:r>
      <w:r w:rsidRPr="00503A3F">
        <w:rPr>
          <w:rFonts w:ascii="Arial" w:hAnsi="Arial" w:cs="Arial"/>
          <w:noProof/>
        </w:rPr>
        <w:drawing>
          <wp:inline distT="0" distB="0" distL="0" distR="0" wp14:anchorId="63CBB2B9" wp14:editId="189441D8">
            <wp:extent cx="46990" cy="469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990" cy="46990"/>
                    </a:xfrm>
                    <a:prstGeom prst="rect">
                      <a:avLst/>
                    </a:prstGeom>
                    <a:noFill/>
                    <a:ln>
                      <a:noFill/>
                    </a:ln>
                  </pic:spPr>
                </pic:pic>
              </a:graphicData>
            </a:graphic>
          </wp:inline>
        </w:drawing>
      </w:r>
      <w:r w:rsidRPr="00503A3F">
        <w:rPr>
          <w:rFonts w:ascii="Arial" w:hAnsi="Arial" w:cs="Arial"/>
        </w:rPr>
        <w:t xml:space="preserve"> Receive an accounting of disclosures of your health information; </w:t>
      </w:r>
      <w:r w:rsidRPr="00503A3F">
        <w:rPr>
          <w:rFonts w:ascii="Arial" w:hAnsi="Arial" w:cs="Arial"/>
          <w:noProof/>
        </w:rPr>
        <w:drawing>
          <wp:inline distT="0" distB="0" distL="0" distR="0" wp14:anchorId="0AAEBEC2" wp14:editId="6CD8D04C">
            <wp:extent cx="46990" cy="469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990" cy="46990"/>
                    </a:xfrm>
                    <a:prstGeom prst="rect">
                      <a:avLst/>
                    </a:prstGeom>
                    <a:noFill/>
                    <a:ln>
                      <a:noFill/>
                    </a:ln>
                  </pic:spPr>
                </pic:pic>
              </a:graphicData>
            </a:graphic>
          </wp:inline>
        </w:drawing>
      </w:r>
      <w:r w:rsidRPr="00503A3F">
        <w:rPr>
          <w:rFonts w:ascii="Arial" w:hAnsi="Arial" w:cs="Arial"/>
        </w:rPr>
        <w:t xml:space="preserve"> Obtain a copy of this notice.</w:t>
      </w:r>
    </w:p>
    <w:p w:rsidR="00503A3F" w:rsidRPr="00503A3F" w:rsidRDefault="00503A3F" w:rsidP="00503A3F">
      <w:pPr>
        <w:tabs>
          <w:tab w:val="center" w:pos="5936"/>
        </w:tabs>
        <w:spacing w:after="152"/>
        <w:rPr>
          <w:rFonts w:ascii="Arial" w:hAnsi="Arial" w:cs="Arial"/>
          <w:sz w:val="24"/>
        </w:rPr>
      </w:pPr>
      <w:r w:rsidRPr="00503A3F">
        <w:rPr>
          <w:rFonts w:ascii="Arial" w:hAnsi="Arial" w:cs="Arial"/>
          <w:sz w:val="24"/>
        </w:rPr>
        <w:t>Hermes Healthcare, Inc.</w:t>
      </w:r>
      <w:r w:rsidRPr="00503A3F">
        <w:rPr>
          <w:rFonts w:ascii="Arial" w:hAnsi="Arial" w:cs="Arial"/>
          <w:sz w:val="24"/>
        </w:rPr>
        <w:tab/>
        <w:t>Duties Regarding the Privacy of your Health Information</w:t>
      </w:r>
    </w:p>
    <w:p w:rsidR="00503A3F" w:rsidRPr="00503A3F" w:rsidRDefault="00503A3F" w:rsidP="00503A3F">
      <w:pPr>
        <w:spacing w:after="382"/>
        <w:ind w:left="17"/>
        <w:rPr>
          <w:rFonts w:ascii="Arial" w:hAnsi="Arial" w:cs="Arial"/>
        </w:rPr>
      </w:pPr>
      <w:r w:rsidRPr="00503A3F">
        <w:rPr>
          <w:rFonts w:ascii="Arial" w:hAnsi="Arial" w:cs="Arial"/>
        </w:rPr>
        <w:t>Subject to limitations outlined by law, Hermes Healthcare, Inc. has certain duties related to your protected health information, including:</w:t>
      </w:r>
    </w:p>
    <w:p w:rsidR="00503A3F" w:rsidRPr="00503A3F" w:rsidRDefault="00503A3F" w:rsidP="00503A3F">
      <w:pPr>
        <w:pStyle w:val="ListParagraph"/>
        <w:numPr>
          <w:ilvl w:val="0"/>
          <w:numId w:val="4"/>
        </w:numPr>
        <w:spacing w:after="50"/>
        <w:ind w:hanging="729"/>
        <w:rPr>
          <w:rFonts w:ascii="Arial" w:hAnsi="Arial" w:cs="Arial"/>
        </w:rPr>
      </w:pPr>
      <w:r w:rsidRPr="00503A3F">
        <w:rPr>
          <w:rFonts w:ascii="Arial" w:hAnsi="Arial" w:cs="Arial"/>
        </w:rPr>
        <w:t>Hermes Healthcare, Inc. is required by law to maintain the privacy of protected health information and to provide individuals with notice of our legal duties and privacy practices with respect to protected health information.</w:t>
      </w:r>
    </w:p>
    <w:p w:rsidR="00503A3F" w:rsidRPr="00503A3F" w:rsidRDefault="00503A3F" w:rsidP="00503A3F">
      <w:pPr>
        <w:numPr>
          <w:ilvl w:val="0"/>
          <w:numId w:val="1"/>
        </w:numPr>
        <w:spacing w:after="37" w:line="247" w:lineRule="auto"/>
        <w:ind w:hanging="729"/>
        <w:jc w:val="both"/>
        <w:rPr>
          <w:rFonts w:ascii="Arial" w:hAnsi="Arial" w:cs="Arial"/>
        </w:rPr>
      </w:pPr>
      <w:r w:rsidRPr="00503A3F">
        <w:rPr>
          <w:rFonts w:ascii="Arial" w:hAnsi="Arial" w:cs="Arial"/>
        </w:rPr>
        <w:lastRenderedPageBreak/>
        <w:t>Hermes Healthcare, Inc. is required to abide by the terms of the privacy notice that is currently in effect.</w:t>
      </w:r>
    </w:p>
    <w:p w:rsidR="00503A3F" w:rsidRPr="00503A3F" w:rsidRDefault="00503A3F" w:rsidP="00503A3F">
      <w:pPr>
        <w:numPr>
          <w:ilvl w:val="0"/>
          <w:numId w:val="1"/>
        </w:numPr>
        <w:spacing w:after="65" w:line="228" w:lineRule="auto"/>
        <w:ind w:hanging="729"/>
        <w:jc w:val="both"/>
        <w:rPr>
          <w:rFonts w:ascii="Arial" w:hAnsi="Arial" w:cs="Arial"/>
        </w:rPr>
      </w:pPr>
      <w:r w:rsidRPr="00503A3F">
        <w:rPr>
          <w:rFonts w:ascii="Arial" w:hAnsi="Arial" w:cs="Arial"/>
        </w:rPr>
        <w:t>Hermes Healthcare, Inc. reserves the right to change a privacy practice described in this notice and to make such change effective for all protected health information. Revised notice will be posted in our office and available upon request.</w:t>
      </w:r>
    </w:p>
    <w:p w:rsidR="00503A3F" w:rsidRDefault="00503A3F" w:rsidP="00503A3F">
      <w:pPr>
        <w:spacing w:after="242" w:line="228" w:lineRule="auto"/>
        <w:ind w:left="10" w:right="115"/>
        <w:rPr>
          <w:rFonts w:ascii="Arial" w:hAnsi="Arial" w:cs="Arial"/>
        </w:rPr>
      </w:pPr>
    </w:p>
    <w:p w:rsidR="00503A3F" w:rsidRPr="00503A3F" w:rsidRDefault="00503A3F" w:rsidP="00503A3F">
      <w:pPr>
        <w:spacing w:after="242" w:line="228" w:lineRule="auto"/>
        <w:ind w:left="10" w:right="115"/>
        <w:rPr>
          <w:rFonts w:ascii="Arial" w:hAnsi="Arial" w:cs="Arial"/>
          <w:sz w:val="24"/>
        </w:rPr>
      </w:pPr>
      <w:r w:rsidRPr="00503A3F">
        <w:rPr>
          <w:rFonts w:ascii="Arial" w:hAnsi="Arial" w:cs="Arial"/>
          <w:sz w:val="24"/>
        </w:rPr>
        <w:t xml:space="preserve">COMPLAINTS: If you believe your privacy rights have been violated, you may make a complaint by contacting our Privacy Officer, 7348 W. 21st Street, Suite 107, Wichita, KS 67205, 316-721-4828 or the </w:t>
      </w:r>
      <w:r w:rsidRPr="00503A3F">
        <w:rPr>
          <w:rFonts w:ascii="Arial" w:hAnsi="Arial" w:cs="Arial"/>
          <w:sz w:val="24"/>
          <w:u w:val="single" w:color="000000"/>
        </w:rPr>
        <w:t xml:space="preserve">Secretary for the Department of Health and Human Services </w:t>
      </w:r>
      <w:r w:rsidRPr="00503A3F">
        <w:rPr>
          <w:rFonts w:ascii="Arial" w:hAnsi="Arial" w:cs="Arial"/>
          <w:sz w:val="24"/>
        </w:rPr>
        <w:t>200 Independence Ave., S.W., Washington, DC 20201.</w:t>
      </w:r>
    </w:p>
    <w:p w:rsidR="00503A3F" w:rsidRDefault="00503A3F" w:rsidP="00503A3F">
      <w:pPr>
        <w:numPr>
          <w:ilvl w:val="0"/>
          <w:numId w:val="1"/>
        </w:numPr>
        <w:spacing w:after="1011" w:line="247" w:lineRule="auto"/>
        <w:jc w:val="both"/>
        <w:rPr>
          <w:rFonts w:ascii="Arial" w:hAnsi="Arial" w:cs="Arial"/>
        </w:rPr>
      </w:pPr>
      <w:r w:rsidRPr="00503A3F">
        <w:rPr>
          <w:rFonts w:ascii="Arial" w:hAnsi="Arial" w:cs="Arial"/>
        </w:rPr>
        <w:t>No individual will be retaliated against for filing a complaint.</w:t>
      </w:r>
    </w:p>
    <w:p w:rsidR="00503A3F" w:rsidRPr="00503A3F" w:rsidRDefault="00503A3F" w:rsidP="00503A3F">
      <w:pPr>
        <w:spacing w:after="1011" w:line="247" w:lineRule="auto"/>
        <w:jc w:val="both"/>
        <w:rPr>
          <w:rFonts w:ascii="Arial" w:hAnsi="Arial" w:cs="Arial"/>
        </w:rPr>
      </w:pPr>
      <w:r>
        <w:rPr>
          <w:rFonts w:ascii="Arial" w:hAnsi="Arial" w:cs="Arial"/>
        </w:rPr>
        <w:t>HH-PN02 (04/15)</w:t>
      </w:r>
    </w:p>
    <w:sectPr w:rsidR="00503A3F" w:rsidRPr="00503A3F" w:rsidSect="006F0D40">
      <w:headerReference w:type="default" r:id="rId13"/>
      <w:footerReference w:type="default" r:id="rId14"/>
      <w:type w:val="continuous"/>
      <w:pgSz w:w="12240" w:h="15840"/>
      <w:pgMar w:top="1440" w:right="720" w:bottom="1440" w:left="1440" w:header="720" w:footer="720" w:gutter="0"/>
      <w:cols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20B" w:rsidRDefault="0070420B" w:rsidP="001A5FBE">
      <w:pPr>
        <w:spacing w:after="0" w:line="240" w:lineRule="auto"/>
      </w:pPr>
      <w:r>
        <w:separator/>
      </w:r>
    </w:p>
  </w:endnote>
  <w:endnote w:type="continuationSeparator" w:id="0">
    <w:p w:rsidR="0070420B" w:rsidRDefault="0070420B" w:rsidP="001A5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6585CF" w:themeColor="accent4"/>
      </w:tblBorders>
      <w:tblLook w:val="04A0" w:firstRow="1" w:lastRow="0" w:firstColumn="1" w:lastColumn="0" w:noHBand="0" w:noVBand="1"/>
    </w:tblPr>
    <w:tblGrid>
      <w:gridCol w:w="7207"/>
      <w:gridCol w:w="3089"/>
    </w:tblGrid>
    <w:tr w:rsidR="005E64C0">
      <w:trPr>
        <w:trHeight w:val="360"/>
      </w:trPr>
      <w:tc>
        <w:tcPr>
          <w:tcW w:w="3500" w:type="pct"/>
        </w:tcPr>
        <w:p w:rsidR="005E64C0" w:rsidRDefault="005E64C0">
          <w:pPr>
            <w:pStyle w:val="Footer"/>
            <w:jc w:val="right"/>
          </w:pPr>
        </w:p>
      </w:tc>
      <w:tc>
        <w:tcPr>
          <w:tcW w:w="1500" w:type="pct"/>
          <w:shd w:val="clear" w:color="auto" w:fill="6585CF" w:themeFill="accent4"/>
        </w:tcPr>
        <w:p w:rsidR="005E64C0" w:rsidRDefault="005E64C0" w:rsidP="000D3FCE">
          <w:pPr>
            <w:pStyle w:val="Footer"/>
            <w:jc w:val="right"/>
            <w:rPr>
              <w:color w:val="FFFFFF" w:themeColor="background1"/>
            </w:rPr>
          </w:pPr>
          <w:r>
            <w:t xml:space="preserve">Page </w:t>
          </w:r>
          <w:r>
            <w:rPr>
              <w:b/>
            </w:rPr>
            <w:fldChar w:fldCharType="begin"/>
          </w:r>
          <w:r>
            <w:rPr>
              <w:b/>
            </w:rPr>
            <w:instrText xml:space="preserve"> PAGE  \* Arabic  \* MERGEFORMAT </w:instrText>
          </w:r>
          <w:r>
            <w:rPr>
              <w:b/>
            </w:rPr>
            <w:fldChar w:fldCharType="separate"/>
          </w:r>
          <w:r w:rsidR="005E09C6">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5E09C6">
            <w:rPr>
              <w:b/>
              <w:noProof/>
            </w:rPr>
            <w:t>3</w:t>
          </w:r>
          <w:r>
            <w:rPr>
              <w:b/>
            </w:rPr>
            <w:fldChar w:fldCharType="end"/>
          </w:r>
        </w:p>
      </w:tc>
    </w:tr>
  </w:tbl>
  <w:p w:rsidR="005E64C0" w:rsidRDefault="005E64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20B" w:rsidRDefault="0070420B" w:rsidP="001A5FBE">
      <w:pPr>
        <w:spacing w:after="0" w:line="240" w:lineRule="auto"/>
      </w:pPr>
      <w:r>
        <w:separator/>
      </w:r>
    </w:p>
  </w:footnote>
  <w:footnote w:type="continuationSeparator" w:id="0">
    <w:p w:rsidR="0070420B" w:rsidRDefault="0070420B" w:rsidP="001A5F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4C0" w:rsidRPr="000D3FCE" w:rsidRDefault="005E64C0" w:rsidP="006F0D40">
    <w:pPr>
      <w:pStyle w:val="Header"/>
      <w:tabs>
        <w:tab w:val="clear" w:pos="9360"/>
        <w:tab w:val="right" w:pos="9270"/>
      </w:tabs>
      <w:ind w:left="-720"/>
      <w:rPr>
        <w:color w:val="533466" w:themeColor="accent6" w:themeShade="80"/>
        <w:sz w:val="20"/>
      </w:rPr>
    </w:pPr>
    <w:r>
      <w:rPr>
        <w:noProof/>
        <w:color w:val="AE9638" w:themeColor="accent1" w:themeShade="BF"/>
      </w:rPr>
      <w:drawing>
        <wp:inline distT="0" distB="0" distL="0" distR="0" wp14:anchorId="53BC93D7" wp14:editId="04807FC4">
          <wp:extent cx="6804837" cy="79744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5844" cy="797560"/>
                  </a:xfrm>
                  <a:prstGeom prst="rect">
                    <a:avLst/>
                  </a:prstGeom>
                  <a:noFill/>
                  <a:ln>
                    <a:noFill/>
                  </a:ln>
                </pic:spPr>
              </pic:pic>
            </a:graphicData>
          </a:graphic>
        </wp:inline>
      </w:drawing>
    </w:r>
    <w:r>
      <w:rPr>
        <w:color w:val="AE9638" w:themeColor="accent1" w:themeShade="BF"/>
      </w:rPr>
      <w:t xml:space="preserve">                                                           </w:t>
    </w:r>
  </w:p>
  <w:p w:rsidR="005E64C0" w:rsidRDefault="005E64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7.45pt;height:8.7pt" o:bullet="t">
        <v:imagedata r:id="rId1" o:title="clip_image001"/>
      </v:shape>
    </w:pict>
  </w:numPicBullet>
  <w:numPicBullet w:numPicBulletId="1">
    <w:pict>
      <v:shape id="_x0000_i1089" type="#_x0000_t75" style="width:8.7pt;height:8.7pt" o:bullet="t">
        <v:imagedata r:id="rId2" o:title="clip_image001"/>
      </v:shape>
    </w:pict>
  </w:numPicBullet>
  <w:numPicBullet w:numPicBulletId="2">
    <w:pict>
      <v:shape id="_x0000_i1090" type="#_x0000_t75" style="width:3in;height:3in" o:bullet="t"/>
    </w:pict>
  </w:numPicBullet>
  <w:abstractNum w:abstractNumId="0">
    <w:nsid w:val="14362230"/>
    <w:multiLevelType w:val="hybridMultilevel"/>
    <w:tmpl w:val="AE1E66CC"/>
    <w:lvl w:ilvl="0" w:tplc="1D58F9E0">
      <w:start w:val="1"/>
      <w:numFmt w:val="bullet"/>
      <w:lvlText w:val="•"/>
      <w:lvlPicBulletId w:val="0"/>
      <w:lvlJc w:val="left"/>
      <w:pPr>
        <w:ind w:left="71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8D986ED2">
      <w:start w:val="1"/>
      <w:numFmt w:val="bullet"/>
      <w:lvlText w:val="o"/>
      <w:lvlJc w:val="left"/>
      <w:pPr>
        <w:ind w:left="179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EDE27EA0">
      <w:start w:val="1"/>
      <w:numFmt w:val="bullet"/>
      <w:lvlText w:val="▪"/>
      <w:lvlJc w:val="left"/>
      <w:pPr>
        <w:ind w:left="251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66DC8936">
      <w:start w:val="1"/>
      <w:numFmt w:val="bullet"/>
      <w:lvlText w:val="•"/>
      <w:lvlJc w:val="left"/>
      <w:pPr>
        <w:ind w:left="323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5BC03212">
      <w:start w:val="1"/>
      <w:numFmt w:val="bullet"/>
      <w:lvlText w:val="o"/>
      <w:lvlJc w:val="left"/>
      <w:pPr>
        <w:ind w:left="395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42B0E910">
      <w:start w:val="1"/>
      <w:numFmt w:val="bullet"/>
      <w:lvlText w:val="▪"/>
      <w:lvlJc w:val="left"/>
      <w:pPr>
        <w:ind w:left="467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8CC85C6C">
      <w:start w:val="1"/>
      <w:numFmt w:val="bullet"/>
      <w:lvlText w:val="•"/>
      <w:lvlJc w:val="left"/>
      <w:pPr>
        <w:ind w:left="539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02189728">
      <w:start w:val="1"/>
      <w:numFmt w:val="bullet"/>
      <w:lvlText w:val="o"/>
      <w:lvlJc w:val="left"/>
      <w:pPr>
        <w:ind w:left="611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810E8156">
      <w:start w:val="1"/>
      <w:numFmt w:val="bullet"/>
      <w:lvlText w:val="▪"/>
      <w:lvlJc w:val="left"/>
      <w:pPr>
        <w:ind w:left="683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
    <w:nsid w:val="40BF3299"/>
    <w:multiLevelType w:val="hybridMultilevel"/>
    <w:tmpl w:val="AEB4AE74"/>
    <w:lvl w:ilvl="0" w:tplc="37005C22">
      <w:start w:val="1"/>
      <w:numFmt w:val="bullet"/>
      <w:lvlText w:val="•"/>
      <w:lvlPicBulletId w:val="1"/>
      <w:lvlJc w:val="left"/>
      <w:pPr>
        <w:ind w:left="727"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C289AC2">
      <w:start w:val="1"/>
      <w:numFmt w:val="bullet"/>
      <w:lvlText w:val="o"/>
      <w:lvlJc w:val="left"/>
      <w:pPr>
        <w:ind w:left="17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9B127D9A">
      <w:start w:val="1"/>
      <w:numFmt w:val="bullet"/>
      <w:lvlText w:val="▪"/>
      <w:lvlJc w:val="left"/>
      <w:pPr>
        <w:ind w:left="24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148A6246">
      <w:start w:val="1"/>
      <w:numFmt w:val="bullet"/>
      <w:lvlText w:val="•"/>
      <w:lvlJc w:val="left"/>
      <w:pPr>
        <w:ind w:left="31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B5FC1828">
      <w:start w:val="1"/>
      <w:numFmt w:val="bullet"/>
      <w:lvlText w:val="o"/>
      <w:lvlJc w:val="left"/>
      <w:pPr>
        <w:ind w:left="38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0F4E8152">
      <w:start w:val="1"/>
      <w:numFmt w:val="bullet"/>
      <w:lvlText w:val="▪"/>
      <w:lvlJc w:val="left"/>
      <w:pPr>
        <w:ind w:left="46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A97A5B02">
      <w:start w:val="1"/>
      <w:numFmt w:val="bullet"/>
      <w:lvlText w:val="•"/>
      <w:lvlJc w:val="left"/>
      <w:pPr>
        <w:ind w:left="53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DDD02E7A">
      <w:start w:val="1"/>
      <w:numFmt w:val="bullet"/>
      <w:lvlText w:val="o"/>
      <w:lvlJc w:val="left"/>
      <w:pPr>
        <w:ind w:left="60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50982906">
      <w:start w:val="1"/>
      <w:numFmt w:val="bullet"/>
      <w:lvlText w:val="▪"/>
      <w:lvlJc w:val="left"/>
      <w:pPr>
        <w:ind w:left="67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
    <w:nsid w:val="40CF1922"/>
    <w:multiLevelType w:val="hybridMultilevel"/>
    <w:tmpl w:val="E8D00E7C"/>
    <w:lvl w:ilvl="0" w:tplc="1D58F9E0">
      <w:start w:val="1"/>
      <w:numFmt w:val="bullet"/>
      <w:lvlText w:val="•"/>
      <w:lvlPicBulletId w:val="0"/>
      <w:lvlJc w:val="left"/>
      <w:pPr>
        <w:ind w:left="72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04090003" w:tentative="1">
      <w:start w:val="1"/>
      <w:numFmt w:val="bullet"/>
      <w:lvlText w:val="o"/>
      <w:lvlJc w:val="left"/>
      <w:pPr>
        <w:ind w:left="1457" w:hanging="360"/>
      </w:pPr>
      <w:rPr>
        <w:rFonts w:ascii="Courier New" w:hAnsi="Courier New" w:cs="Courier New" w:hint="default"/>
      </w:rPr>
    </w:lvl>
    <w:lvl w:ilvl="2" w:tplc="04090005" w:tentative="1">
      <w:start w:val="1"/>
      <w:numFmt w:val="bullet"/>
      <w:lvlText w:val=""/>
      <w:lvlJc w:val="left"/>
      <w:pPr>
        <w:ind w:left="2177" w:hanging="360"/>
      </w:pPr>
      <w:rPr>
        <w:rFonts w:ascii="Wingdings" w:hAnsi="Wingdings" w:hint="default"/>
      </w:rPr>
    </w:lvl>
    <w:lvl w:ilvl="3" w:tplc="04090001" w:tentative="1">
      <w:start w:val="1"/>
      <w:numFmt w:val="bullet"/>
      <w:lvlText w:val=""/>
      <w:lvlJc w:val="left"/>
      <w:pPr>
        <w:ind w:left="2897" w:hanging="360"/>
      </w:pPr>
      <w:rPr>
        <w:rFonts w:ascii="Symbol" w:hAnsi="Symbol" w:hint="default"/>
      </w:rPr>
    </w:lvl>
    <w:lvl w:ilvl="4" w:tplc="04090003" w:tentative="1">
      <w:start w:val="1"/>
      <w:numFmt w:val="bullet"/>
      <w:lvlText w:val="o"/>
      <w:lvlJc w:val="left"/>
      <w:pPr>
        <w:ind w:left="3617" w:hanging="360"/>
      </w:pPr>
      <w:rPr>
        <w:rFonts w:ascii="Courier New" w:hAnsi="Courier New" w:cs="Courier New" w:hint="default"/>
      </w:rPr>
    </w:lvl>
    <w:lvl w:ilvl="5" w:tplc="04090005" w:tentative="1">
      <w:start w:val="1"/>
      <w:numFmt w:val="bullet"/>
      <w:lvlText w:val=""/>
      <w:lvlJc w:val="left"/>
      <w:pPr>
        <w:ind w:left="4337" w:hanging="360"/>
      </w:pPr>
      <w:rPr>
        <w:rFonts w:ascii="Wingdings" w:hAnsi="Wingdings" w:hint="default"/>
      </w:rPr>
    </w:lvl>
    <w:lvl w:ilvl="6" w:tplc="04090001" w:tentative="1">
      <w:start w:val="1"/>
      <w:numFmt w:val="bullet"/>
      <w:lvlText w:val=""/>
      <w:lvlJc w:val="left"/>
      <w:pPr>
        <w:ind w:left="5057" w:hanging="360"/>
      </w:pPr>
      <w:rPr>
        <w:rFonts w:ascii="Symbol" w:hAnsi="Symbol" w:hint="default"/>
      </w:rPr>
    </w:lvl>
    <w:lvl w:ilvl="7" w:tplc="04090003" w:tentative="1">
      <w:start w:val="1"/>
      <w:numFmt w:val="bullet"/>
      <w:lvlText w:val="o"/>
      <w:lvlJc w:val="left"/>
      <w:pPr>
        <w:ind w:left="5777" w:hanging="360"/>
      </w:pPr>
      <w:rPr>
        <w:rFonts w:ascii="Courier New" w:hAnsi="Courier New" w:cs="Courier New" w:hint="default"/>
      </w:rPr>
    </w:lvl>
    <w:lvl w:ilvl="8" w:tplc="04090005" w:tentative="1">
      <w:start w:val="1"/>
      <w:numFmt w:val="bullet"/>
      <w:lvlText w:val=""/>
      <w:lvlJc w:val="left"/>
      <w:pPr>
        <w:ind w:left="6497"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FBE"/>
    <w:rsid w:val="00002BDC"/>
    <w:rsid w:val="00053E09"/>
    <w:rsid w:val="00090229"/>
    <w:rsid w:val="000A73D7"/>
    <w:rsid w:val="000D3FCE"/>
    <w:rsid w:val="000F056D"/>
    <w:rsid w:val="00132D25"/>
    <w:rsid w:val="001400E3"/>
    <w:rsid w:val="001A5FBE"/>
    <w:rsid w:val="001E6B90"/>
    <w:rsid w:val="00224AA9"/>
    <w:rsid w:val="002B6AE9"/>
    <w:rsid w:val="002F7A2D"/>
    <w:rsid w:val="0030322A"/>
    <w:rsid w:val="003036CB"/>
    <w:rsid w:val="00312064"/>
    <w:rsid w:val="00327D8E"/>
    <w:rsid w:val="00350F34"/>
    <w:rsid w:val="003704D8"/>
    <w:rsid w:val="003E3318"/>
    <w:rsid w:val="004031C0"/>
    <w:rsid w:val="00420D32"/>
    <w:rsid w:val="00421607"/>
    <w:rsid w:val="004A20E8"/>
    <w:rsid w:val="004B0D84"/>
    <w:rsid w:val="004B5385"/>
    <w:rsid w:val="00503A3F"/>
    <w:rsid w:val="00503B00"/>
    <w:rsid w:val="005276EB"/>
    <w:rsid w:val="00542C9A"/>
    <w:rsid w:val="00550028"/>
    <w:rsid w:val="00575B6A"/>
    <w:rsid w:val="005E09C6"/>
    <w:rsid w:val="005E64C0"/>
    <w:rsid w:val="006026CF"/>
    <w:rsid w:val="00634615"/>
    <w:rsid w:val="00642B17"/>
    <w:rsid w:val="006630D2"/>
    <w:rsid w:val="006871FA"/>
    <w:rsid w:val="006A2F0F"/>
    <w:rsid w:val="006E555E"/>
    <w:rsid w:val="006F0D40"/>
    <w:rsid w:val="0070420B"/>
    <w:rsid w:val="007923AA"/>
    <w:rsid w:val="007A2653"/>
    <w:rsid w:val="007C4604"/>
    <w:rsid w:val="007D562C"/>
    <w:rsid w:val="0081244A"/>
    <w:rsid w:val="00872A38"/>
    <w:rsid w:val="0088084C"/>
    <w:rsid w:val="008C1E17"/>
    <w:rsid w:val="008E1902"/>
    <w:rsid w:val="00902402"/>
    <w:rsid w:val="00936B73"/>
    <w:rsid w:val="009A110D"/>
    <w:rsid w:val="009D254E"/>
    <w:rsid w:val="00B138FF"/>
    <w:rsid w:val="00B17CF4"/>
    <w:rsid w:val="00BA2DA8"/>
    <w:rsid w:val="00BC5944"/>
    <w:rsid w:val="00BE7723"/>
    <w:rsid w:val="00BF0D12"/>
    <w:rsid w:val="00C14839"/>
    <w:rsid w:val="00C2514B"/>
    <w:rsid w:val="00D073E0"/>
    <w:rsid w:val="00D15903"/>
    <w:rsid w:val="00D663D3"/>
    <w:rsid w:val="00D93E88"/>
    <w:rsid w:val="00DA37AF"/>
    <w:rsid w:val="00E30625"/>
    <w:rsid w:val="00EB247F"/>
    <w:rsid w:val="00EC76F5"/>
    <w:rsid w:val="00F30162"/>
    <w:rsid w:val="00FC48C0"/>
    <w:rsid w:val="00FE3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5F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FBE"/>
  </w:style>
  <w:style w:type="paragraph" w:styleId="Footer">
    <w:name w:val="footer"/>
    <w:basedOn w:val="Normal"/>
    <w:link w:val="FooterChar"/>
    <w:uiPriority w:val="99"/>
    <w:unhideWhenUsed/>
    <w:rsid w:val="001A5F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FBE"/>
  </w:style>
  <w:style w:type="paragraph" w:styleId="BalloonText">
    <w:name w:val="Balloon Text"/>
    <w:basedOn w:val="Normal"/>
    <w:link w:val="BalloonTextChar"/>
    <w:uiPriority w:val="99"/>
    <w:semiHidden/>
    <w:unhideWhenUsed/>
    <w:rsid w:val="001A5F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FBE"/>
    <w:rPr>
      <w:rFonts w:ascii="Tahoma" w:hAnsi="Tahoma" w:cs="Tahoma"/>
      <w:sz w:val="16"/>
      <w:szCs w:val="16"/>
    </w:rPr>
  </w:style>
  <w:style w:type="paragraph" w:styleId="NormalWeb">
    <w:name w:val="Normal (Web)"/>
    <w:basedOn w:val="Normal"/>
    <w:uiPriority w:val="99"/>
    <w:semiHidden/>
    <w:unhideWhenUsed/>
    <w:rsid w:val="007923AA"/>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350F34"/>
    <w:rPr>
      <w:color w:val="808080"/>
    </w:rPr>
  </w:style>
  <w:style w:type="table" w:styleId="TableGrid">
    <w:name w:val="Table Grid"/>
    <w:basedOn w:val="TableNormal"/>
    <w:uiPriority w:val="59"/>
    <w:rsid w:val="00350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6">
    <w:name w:val="Medium Grid 1 Accent 6"/>
    <w:basedOn w:val="TableNormal"/>
    <w:uiPriority w:val="67"/>
    <w:rsid w:val="00EC76F5"/>
    <w:pPr>
      <w:spacing w:after="0" w:line="240" w:lineRule="auto"/>
    </w:pPr>
    <w:tblPr>
      <w:tblStyleRowBandSize w:val="1"/>
      <w:tblStyleColBandSize w:val="1"/>
      <w:tblBorders>
        <w:top w:val="single" w:sz="8" w:space="0" w:color="BA9ACC" w:themeColor="accent6" w:themeTint="BF"/>
        <w:left w:val="single" w:sz="8" w:space="0" w:color="BA9ACC" w:themeColor="accent6" w:themeTint="BF"/>
        <w:bottom w:val="single" w:sz="8" w:space="0" w:color="BA9ACC" w:themeColor="accent6" w:themeTint="BF"/>
        <w:right w:val="single" w:sz="8" w:space="0" w:color="BA9ACC" w:themeColor="accent6" w:themeTint="BF"/>
        <w:insideH w:val="single" w:sz="8" w:space="0" w:color="BA9ACC" w:themeColor="accent6" w:themeTint="BF"/>
        <w:insideV w:val="single" w:sz="8" w:space="0" w:color="BA9ACC" w:themeColor="accent6" w:themeTint="BF"/>
      </w:tblBorders>
    </w:tblPr>
    <w:tcPr>
      <w:shd w:val="clear" w:color="auto" w:fill="E8DDEE" w:themeFill="accent6" w:themeFillTint="3F"/>
    </w:tcPr>
    <w:tblStylePr w:type="firstRow">
      <w:rPr>
        <w:b/>
        <w:bCs/>
      </w:rPr>
    </w:tblStylePr>
    <w:tblStylePr w:type="lastRow">
      <w:rPr>
        <w:b/>
        <w:bCs/>
      </w:rPr>
      <w:tblPr/>
      <w:tcPr>
        <w:tcBorders>
          <w:top w:val="single" w:sz="18" w:space="0" w:color="BA9ACC" w:themeColor="accent6" w:themeTint="BF"/>
        </w:tcBorders>
      </w:tcPr>
    </w:tblStylePr>
    <w:tblStylePr w:type="firstCol">
      <w:rPr>
        <w:b/>
        <w:bCs/>
      </w:rPr>
    </w:tblStylePr>
    <w:tblStylePr w:type="lastCol">
      <w:rPr>
        <w:b/>
        <w:bCs/>
      </w:rPr>
    </w:tblStylePr>
    <w:tblStylePr w:type="band1Vert">
      <w:tblPr/>
      <w:tcPr>
        <w:shd w:val="clear" w:color="auto" w:fill="D1BCDD" w:themeFill="accent6" w:themeFillTint="7F"/>
      </w:tcPr>
    </w:tblStylePr>
    <w:tblStylePr w:type="band1Horz">
      <w:tblPr/>
      <w:tcPr>
        <w:shd w:val="clear" w:color="auto" w:fill="D1BCDD" w:themeFill="accent6" w:themeFillTint="7F"/>
      </w:tcPr>
    </w:tblStylePr>
  </w:style>
  <w:style w:type="table" w:styleId="LightShading-Accent6">
    <w:name w:val="Light Shading Accent 6"/>
    <w:basedOn w:val="TableNormal"/>
    <w:uiPriority w:val="60"/>
    <w:rsid w:val="00132D25"/>
    <w:pPr>
      <w:spacing w:after="0" w:line="240" w:lineRule="auto"/>
    </w:pPr>
    <w:rPr>
      <w:color w:val="7D4D98" w:themeColor="accent6" w:themeShade="BF"/>
    </w:rPr>
    <w:tblPr>
      <w:tblStyleRowBandSize w:val="1"/>
      <w:tblStyleColBandSize w:val="1"/>
      <w:tblBorders>
        <w:top w:val="single" w:sz="8" w:space="0" w:color="A379BB" w:themeColor="accent6"/>
        <w:bottom w:val="single" w:sz="8" w:space="0" w:color="A379BB" w:themeColor="accent6"/>
      </w:tblBorders>
    </w:tblPr>
    <w:tblStylePr w:type="firstRow">
      <w:pPr>
        <w:spacing w:before="0" w:after="0" w:line="240" w:lineRule="auto"/>
      </w:pPr>
      <w:rPr>
        <w:b/>
        <w:bCs/>
      </w:rPr>
      <w:tblPr/>
      <w:tcPr>
        <w:tcBorders>
          <w:top w:val="single" w:sz="8" w:space="0" w:color="A379BB" w:themeColor="accent6"/>
          <w:left w:val="nil"/>
          <w:bottom w:val="single" w:sz="8" w:space="0" w:color="A379BB" w:themeColor="accent6"/>
          <w:right w:val="nil"/>
          <w:insideH w:val="nil"/>
          <w:insideV w:val="nil"/>
        </w:tcBorders>
      </w:tcPr>
    </w:tblStylePr>
    <w:tblStylePr w:type="lastRow">
      <w:pPr>
        <w:spacing w:before="0" w:after="0" w:line="240" w:lineRule="auto"/>
      </w:pPr>
      <w:rPr>
        <w:b/>
        <w:bCs/>
      </w:rPr>
      <w:tblPr/>
      <w:tcPr>
        <w:tcBorders>
          <w:top w:val="single" w:sz="8" w:space="0" w:color="A379BB" w:themeColor="accent6"/>
          <w:left w:val="nil"/>
          <w:bottom w:val="single" w:sz="8" w:space="0" w:color="A379B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DDEE" w:themeFill="accent6" w:themeFillTint="3F"/>
      </w:tcPr>
    </w:tblStylePr>
    <w:tblStylePr w:type="band1Horz">
      <w:tblPr/>
      <w:tcPr>
        <w:tcBorders>
          <w:left w:val="nil"/>
          <w:right w:val="nil"/>
          <w:insideH w:val="nil"/>
          <w:insideV w:val="nil"/>
        </w:tcBorders>
        <w:shd w:val="clear" w:color="auto" w:fill="E8DDEE" w:themeFill="accent6" w:themeFillTint="3F"/>
      </w:tcPr>
    </w:tblStylePr>
  </w:style>
  <w:style w:type="table" w:styleId="LightShading">
    <w:name w:val="Light Shading"/>
    <w:basedOn w:val="TableNormal"/>
    <w:uiPriority w:val="60"/>
    <w:rsid w:val="0055002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503A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5F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FBE"/>
  </w:style>
  <w:style w:type="paragraph" w:styleId="Footer">
    <w:name w:val="footer"/>
    <w:basedOn w:val="Normal"/>
    <w:link w:val="FooterChar"/>
    <w:uiPriority w:val="99"/>
    <w:unhideWhenUsed/>
    <w:rsid w:val="001A5F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FBE"/>
  </w:style>
  <w:style w:type="paragraph" w:styleId="BalloonText">
    <w:name w:val="Balloon Text"/>
    <w:basedOn w:val="Normal"/>
    <w:link w:val="BalloonTextChar"/>
    <w:uiPriority w:val="99"/>
    <w:semiHidden/>
    <w:unhideWhenUsed/>
    <w:rsid w:val="001A5F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FBE"/>
    <w:rPr>
      <w:rFonts w:ascii="Tahoma" w:hAnsi="Tahoma" w:cs="Tahoma"/>
      <w:sz w:val="16"/>
      <w:szCs w:val="16"/>
    </w:rPr>
  </w:style>
  <w:style w:type="paragraph" w:styleId="NormalWeb">
    <w:name w:val="Normal (Web)"/>
    <w:basedOn w:val="Normal"/>
    <w:uiPriority w:val="99"/>
    <w:semiHidden/>
    <w:unhideWhenUsed/>
    <w:rsid w:val="007923AA"/>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350F34"/>
    <w:rPr>
      <w:color w:val="808080"/>
    </w:rPr>
  </w:style>
  <w:style w:type="table" w:styleId="TableGrid">
    <w:name w:val="Table Grid"/>
    <w:basedOn w:val="TableNormal"/>
    <w:uiPriority w:val="59"/>
    <w:rsid w:val="00350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6">
    <w:name w:val="Medium Grid 1 Accent 6"/>
    <w:basedOn w:val="TableNormal"/>
    <w:uiPriority w:val="67"/>
    <w:rsid w:val="00EC76F5"/>
    <w:pPr>
      <w:spacing w:after="0" w:line="240" w:lineRule="auto"/>
    </w:pPr>
    <w:tblPr>
      <w:tblStyleRowBandSize w:val="1"/>
      <w:tblStyleColBandSize w:val="1"/>
      <w:tblBorders>
        <w:top w:val="single" w:sz="8" w:space="0" w:color="BA9ACC" w:themeColor="accent6" w:themeTint="BF"/>
        <w:left w:val="single" w:sz="8" w:space="0" w:color="BA9ACC" w:themeColor="accent6" w:themeTint="BF"/>
        <w:bottom w:val="single" w:sz="8" w:space="0" w:color="BA9ACC" w:themeColor="accent6" w:themeTint="BF"/>
        <w:right w:val="single" w:sz="8" w:space="0" w:color="BA9ACC" w:themeColor="accent6" w:themeTint="BF"/>
        <w:insideH w:val="single" w:sz="8" w:space="0" w:color="BA9ACC" w:themeColor="accent6" w:themeTint="BF"/>
        <w:insideV w:val="single" w:sz="8" w:space="0" w:color="BA9ACC" w:themeColor="accent6" w:themeTint="BF"/>
      </w:tblBorders>
    </w:tblPr>
    <w:tcPr>
      <w:shd w:val="clear" w:color="auto" w:fill="E8DDEE" w:themeFill="accent6" w:themeFillTint="3F"/>
    </w:tcPr>
    <w:tblStylePr w:type="firstRow">
      <w:rPr>
        <w:b/>
        <w:bCs/>
      </w:rPr>
    </w:tblStylePr>
    <w:tblStylePr w:type="lastRow">
      <w:rPr>
        <w:b/>
        <w:bCs/>
      </w:rPr>
      <w:tblPr/>
      <w:tcPr>
        <w:tcBorders>
          <w:top w:val="single" w:sz="18" w:space="0" w:color="BA9ACC" w:themeColor="accent6" w:themeTint="BF"/>
        </w:tcBorders>
      </w:tcPr>
    </w:tblStylePr>
    <w:tblStylePr w:type="firstCol">
      <w:rPr>
        <w:b/>
        <w:bCs/>
      </w:rPr>
    </w:tblStylePr>
    <w:tblStylePr w:type="lastCol">
      <w:rPr>
        <w:b/>
        <w:bCs/>
      </w:rPr>
    </w:tblStylePr>
    <w:tblStylePr w:type="band1Vert">
      <w:tblPr/>
      <w:tcPr>
        <w:shd w:val="clear" w:color="auto" w:fill="D1BCDD" w:themeFill="accent6" w:themeFillTint="7F"/>
      </w:tcPr>
    </w:tblStylePr>
    <w:tblStylePr w:type="band1Horz">
      <w:tblPr/>
      <w:tcPr>
        <w:shd w:val="clear" w:color="auto" w:fill="D1BCDD" w:themeFill="accent6" w:themeFillTint="7F"/>
      </w:tcPr>
    </w:tblStylePr>
  </w:style>
  <w:style w:type="table" w:styleId="LightShading-Accent6">
    <w:name w:val="Light Shading Accent 6"/>
    <w:basedOn w:val="TableNormal"/>
    <w:uiPriority w:val="60"/>
    <w:rsid w:val="00132D25"/>
    <w:pPr>
      <w:spacing w:after="0" w:line="240" w:lineRule="auto"/>
    </w:pPr>
    <w:rPr>
      <w:color w:val="7D4D98" w:themeColor="accent6" w:themeShade="BF"/>
    </w:rPr>
    <w:tblPr>
      <w:tblStyleRowBandSize w:val="1"/>
      <w:tblStyleColBandSize w:val="1"/>
      <w:tblBorders>
        <w:top w:val="single" w:sz="8" w:space="0" w:color="A379BB" w:themeColor="accent6"/>
        <w:bottom w:val="single" w:sz="8" w:space="0" w:color="A379BB" w:themeColor="accent6"/>
      </w:tblBorders>
    </w:tblPr>
    <w:tblStylePr w:type="firstRow">
      <w:pPr>
        <w:spacing w:before="0" w:after="0" w:line="240" w:lineRule="auto"/>
      </w:pPr>
      <w:rPr>
        <w:b/>
        <w:bCs/>
      </w:rPr>
      <w:tblPr/>
      <w:tcPr>
        <w:tcBorders>
          <w:top w:val="single" w:sz="8" w:space="0" w:color="A379BB" w:themeColor="accent6"/>
          <w:left w:val="nil"/>
          <w:bottom w:val="single" w:sz="8" w:space="0" w:color="A379BB" w:themeColor="accent6"/>
          <w:right w:val="nil"/>
          <w:insideH w:val="nil"/>
          <w:insideV w:val="nil"/>
        </w:tcBorders>
      </w:tcPr>
    </w:tblStylePr>
    <w:tblStylePr w:type="lastRow">
      <w:pPr>
        <w:spacing w:before="0" w:after="0" w:line="240" w:lineRule="auto"/>
      </w:pPr>
      <w:rPr>
        <w:b/>
        <w:bCs/>
      </w:rPr>
      <w:tblPr/>
      <w:tcPr>
        <w:tcBorders>
          <w:top w:val="single" w:sz="8" w:space="0" w:color="A379BB" w:themeColor="accent6"/>
          <w:left w:val="nil"/>
          <w:bottom w:val="single" w:sz="8" w:space="0" w:color="A379B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DDEE" w:themeFill="accent6" w:themeFillTint="3F"/>
      </w:tcPr>
    </w:tblStylePr>
    <w:tblStylePr w:type="band1Horz">
      <w:tblPr/>
      <w:tcPr>
        <w:tcBorders>
          <w:left w:val="nil"/>
          <w:right w:val="nil"/>
          <w:insideH w:val="nil"/>
          <w:insideV w:val="nil"/>
        </w:tcBorders>
        <w:shd w:val="clear" w:color="auto" w:fill="E8DDEE" w:themeFill="accent6" w:themeFillTint="3F"/>
      </w:tcPr>
    </w:tblStylePr>
  </w:style>
  <w:style w:type="table" w:styleId="LightShading">
    <w:name w:val="Light Shading"/>
    <w:basedOn w:val="TableNormal"/>
    <w:uiPriority w:val="60"/>
    <w:rsid w:val="0055002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503A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883742">
      <w:bodyDiv w:val="1"/>
      <w:marLeft w:val="0"/>
      <w:marRight w:val="0"/>
      <w:marTop w:val="0"/>
      <w:marBottom w:val="0"/>
      <w:divBdr>
        <w:top w:val="none" w:sz="0" w:space="0" w:color="auto"/>
        <w:left w:val="none" w:sz="0" w:space="0" w:color="auto"/>
        <w:bottom w:val="none" w:sz="0" w:space="0" w:color="auto"/>
        <w:right w:val="none" w:sz="0" w:space="0" w:color="auto"/>
      </w:divBdr>
    </w:div>
    <w:div w:id="1814325117">
      <w:bodyDiv w:val="1"/>
      <w:marLeft w:val="0"/>
      <w:marRight w:val="0"/>
      <w:marTop w:val="0"/>
      <w:marBottom w:val="0"/>
      <w:divBdr>
        <w:top w:val="none" w:sz="0" w:space="0" w:color="auto"/>
        <w:left w:val="none" w:sz="0" w:space="0" w:color="auto"/>
        <w:bottom w:val="none" w:sz="0" w:space="0" w:color="auto"/>
        <w:right w:val="none" w:sz="0" w:space="0" w:color="auto"/>
      </w:divBdr>
      <w:divsChild>
        <w:div w:id="441344966">
          <w:marLeft w:val="0"/>
          <w:marRight w:val="0"/>
          <w:marTop w:val="0"/>
          <w:marBottom w:val="0"/>
          <w:divBdr>
            <w:top w:val="none" w:sz="0" w:space="0" w:color="auto"/>
            <w:left w:val="none" w:sz="0" w:space="0" w:color="auto"/>
            <w:bottom w:val="none" w:sz="0" w:space="0" w:color="auto"/>
            <w:right w:val="none" w:sz="0" w:space="0" w:color="auto"/>
          </w:divBdr>
        </w:div>
        <w:div w:id="973489530">
          <w:marLeft w:val="0"/>
          <w:marRight w:val="0"/>
          <w:marTop w:val="0"/>
          <w:marBottom w:val="0"/>
          <w:divBdr>
            <w:top w:val="none" w:sz="0" w:space="0" w:color="auto"/>
            <w:left w:val="none" w:sz="0" w:space="0" w:color="auto"/>
            <w:bottom w:val="none" w:sz="0" w:space="0" w:color="auto"/>
            <w:right w:val="none" w:sz="0" w:space="0" w:color="auto"/>
          </w:divBdr>
        </w:div>
      </w:divsChild>
    </w:div>
    <w:div w:id="2007897251">
      <w:bodyDiv w:val="1"/>
      <w:marLeft w:val="0"/>
      <w:marRight w:val="0"/>
      <w:marTop w:val="0"/>
      <w:marBottom w:val="0"/>
      <w:divBdr>
        <w:top w:val="none" w:sz="0" w:space="0" w:color="auto"/>
        <w:left w:val="none" w:sz="0" w:space="0" w:color="auto"/>
        <w:bottom w:val="none" w:sz="0" w:space="0" w:color="auto"/>
        <w:right w:val="none" w:sz="0" w:space="0" w:color="auto"/>
      </w:divBdr>
    </w:div>
    <w:div w:id="203557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Apex">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Apex">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50000"/>
                <a:satMod val="180000"/>
              </a:schemeClr>
            </a:gs>
            <a:gs pos="100000">
              <a:schemeClr val="phClr">
                <a:shade val="45000"/>
                <a:satMod val="120000"/>
              </a:schemeClr>
            </a:gs>
          </a:gsLst>
          <a:path path="circle">
            <a:fillToRect r="100000" b="100000"/>
          </a:path>
        </a:gradFill>
        <a:blipFill>
          <a:blip xmlns:r="http://schemas.openxmlformats.org/officeDocument/2006/relationships" r:embed="rId1">
            <a:duotone>
              <a:schemeClr val="phClr">
                <a:shade val="3000"/>
                <a:satMod val="110000"/>
              </a:schemeClr>
              <a:schemeClr val="phClr">
                <a:tint val="60000"/>
                <a:satMod val="425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9D71F-A12E-4D7D-A912-283C92E4A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Arika</dc:creator>
  <cp:lastModifiedBy>Arika</cp:lastModifiedBy>
  <cp:revision>2</cp:revision>
  <cp:lastPrinted>2016-12-07T00:57:00Z</cp:lastPrinted>
  <dcterms:created xsi:type="dcterms:W3CDTF">2016-12-07T00:58:00Z</dcterms:created>
  <dcterms:modified xsi:type="dcterms:W3CDTF">2016-12-07T00:58:00Z</dcterms:modified>
</cp:coreProperties>
</file>